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附件5</w:t>
      </w:r>
    </w:p>
    <w:p>
      <w:pPr>
        <w:widowControl/>
        <w:spacing w:before="100" w:beforeAutospacing="1" w:after="100" w:afterAutospacing="1" w:line="2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重庆银行“人才贷”服务产品一览表</w:t>
      </w:r>
    </w:p>
    <w:bookmarkEnd w:id="0"/>
    <w:tbl>
      <w:tblPr>
        <w:tblStyle w:val="3"/>
        <w:tblW w:w="92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457"/>
        <w:gridCol w:w="1910"/>
        <w:gridCol w:w="5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“人才贷”服务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重庆银行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对应产品名称</w:t>
            </w:r>
          </w:p>
        </w:tc>
        <w:tc>
          <w:tcPr>
            <w:tcW w:w="52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产品内容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人才信用贷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人才贷</w:t>
            </w:r>
          </w:p>
        </w:tc>
        <w:tc>
          <w:tcPr>
            <w:tcW w:w="520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“英才卡”持卡人可享受免抵押、免担保贷款（发卡行关系人及关联方除外），用于满足消费需求，贷款额度循环使用，随借随还。贷款最低可执行基准利率，最长期限1年，最高额度100万元。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知识价值信用贷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“科创未来”知识价值信用贷</w:t>
            </w:r>
          </w:p>
        </w:tc>
        <w:tc>
          <w:tcPr>
            <w:tcW w:w="520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对成立科技型企业并纳入科技型企业成长库、取得市科委知识价值信用额度的“英才卡”持卡人，可申请无须提供抵押物的知识价值信用贷款。贷款执行同期同档次基准利率，最高额度500万元。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人才创业贷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好企税信贷</w:t>
            </w:r>
          </w:p>
        </w:tc>
        <w:tc>
          <w:tcPr>
            <w:tcW w:w="520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对在渝创办企业的高层次人才，凭“英才卡”可在线申请用于生产经营周转的信用贷款。贷款基于税务数据场景，免抵押、无担保，手机APP自助办理，先息后本，最高额度100万。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房产抵押贷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“启动力”系列贷款</w:t>
            </w:r>
          </w:p>
        </w:tc>
        <w:tc>
          <w:tcPr>
            <w:tcW w:w="520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对在渝创办企业的高层次人才，凭“英才卡”可申请以房产抵押为担保方式的个人经营性贷款。抵押房产类型不限，审查审批最快1日完成、3日放款。贷款金融最高可达抵押物评估净值的110%，期限最长10年，最高额度500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流动资金贷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年审贷</w:t>
            </w:r>
          </w:p>
        </w:tc>
        <w:tc>
          <w:tcPr>
            <w:tcW w:w="520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对在渝创办企业的高层次人才，凭“英才卡”可申请流动资金贷款。贷款期限最长三年，无需每年还本转贷，三年到期一次性归还本金，最高额度2000万元。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工业用房按揭贷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工业用房按揭贷款</w:t>
            </w:r>
          </w:p>
        </w:tc>
        <w:tc>
          <w:tcPr>
            <w:tcW w:w="520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对在渝创办企业的高层次人才，凭“英才卡”可申请用于企业购买自用工业用房的贷款。贷款采取按揭还款方式，按月等额本金或等额本息还款，期限最长5年，最高额度2000万元。</w:t>
            </w:r>
          </w:p>
        </w:tc>
      </w:tr>
    </w:tbl>
    <w:p>
      <w:pPr>
        <w:widowControl/>
        <w:jc w:val="left"/>
        <w:rPr>
          <w:rFonts w:hint="eastAsia" w:ascii="方正楷体_GBK" w:hAnsi="方正楷体_GBK" w:eastAsia="方正楷体_GBK" w:cs="方正楷体_GBK"/>
          <w:kern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kern w:val="0"/>
          <w:sz w:val="24"/>
          <w:szCs w:val="24"/>
        </w:rPr>
        <w:t>注：1.“贷款期限最长一年，且不得超过人才证到期日，建议人才证到期前半年申请延期。”</w:t>
      </w:r>
    </w:p>
    <w:p>
      <w:pPr>
        <w:widowControl/>
        <w:ind w:firstLine="480" w:firstLineChars="200"/>
        <w:jc w:val="left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kern w:val="0"/>
          <w:sz w:val="24"/>
          <w:szCs w:val="24"/>
          <w:lang w:val="en-US" w:eastAsia="zh-CN"/>
        </w:rPr>
        <w:t>2.</w:t>
      </w:r>
      <w:r>
        <w:rPr>
          <w:rFonts w:hint="eastAsia" w:ascii="方正楷体_GBK" w:hAnsi="方正楷体_GBK" w:eastAsia="方正楷体_GBK" w:cs="方正楷体_GBK"/>
          <w:kern w:val="0"/>
          <w:sz w:val="24"/>
          <w:szCs w:val="24"/>
        </w:rPr>
        <w:t>“产品变更以重庆银行最新规定为准。”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C3CE4"/>
    <w:rsid w:val="210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2019-10-15T06:24:00Z</dcterms:created>
  <dc:creator>zhengyueling</dc:creator>
  <cp:lastModifiedBy>zhengyueling</cp:lastModifiedBy>
  <dcterms:modified xsi:type="dcterms:W3CDTF">2019-10-15T06:25:21Z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